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w:t>
      </w:r>
    </w:p>
    <w:p>
      <w:pPr>
        <w:pStyle w:val="2"/>
        <w:keepNext w:val="0"/>
        <w:keepLines w:val="0"/>
        <w:pageBreakBefore w:val="0"/>
        <w:widowControl w:val="0"/>
        <w:kinsoku/>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highlight w:val="none"/>
          <w:lang w:eastAsia="zh-CN"/>
        </w:rPr>
      </w:pPr>
      <w:r>
        <w:rPr>
          <w:rFonts w:hint="eastAsia" w:ascii="方正小标宋简体" w:hAnsi="宋体" w:eastAsia="方正小标宋简体"/>
          <w:sz w:val="44"/>
          <w:szCs w:val="44"/>
          <w:highlight w:val="none"/>
        </w:rPr>
        <w:t>广西壮族自治区图书馆文献</w:t>
      </w:r>
      <w:r>
        <w:rPr>
          <w:rFonts w:hint="eastAsia" w:ascii="方正小标宋简体" w:hAnsi="宋体" w:eastAsia="方正小标宋简体"/>
          <w:sz w:val="44"/>
          <w:szCs w:val="44"/>
          <w:highlight w:val="none"/>
          <w:lang w:val="en-US" w:eastAsia="zh-CN"/>
        </w:rPr>
        <w:t>资源</w:t>
      </w:r>
      <w:r>
        <w:rPr>
          <w:rFonts w:hint="eastAsia" w:ascii="方正小标宋简体" w:hAnsi="宋体" w:eastAsia="方正小标宋简体"/>
          <w:sz w:val="44"/>
          <w:szCs w:val="44"/>
          <w:highlight w:val="none"/>
        </w:rPr>
        <w:t>捐赠协议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eastAsia="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甲方</w:t>
      </w:r>
      <w:r>
        <w:rPr>
          <w:rFonts w:hint="eastAsia" w:ascii="仿宋_GB2312" w:eastAsia="仿宋_GB2312"/>
          <w:sz w:val="32"/>
          <w:szCs w:val="32"/>
          <w:highlight w:val="none"/>
        </w:rPr>
        <w:t>（捐赠方）：</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_GB2312" w:eastAsia="仿宋_GB2312"/>
          <w:sz w:val="32"/>
          <w:szCs w:val="32"/>
          <w:highlight w:val="none"/>
          <w:u w:val="single"/>
          <w:lang w:val="en-US" w:eastAsia="zh-CN"/>
        </w:rPr>
      </w:pPr>
      <w:r>
        <w:rPr>
          <w:rFonts w:hint="eastAsia" w:ascii="仿宋_GB2312" w:eastAsia="仿宋_GB2312"/>
          <w:sz w:val="32"/>
          <w:szCs w:val="32"/>
          <w:highlight w:val="none"/>
        </w:rPr>
        <w:t>乙方（受赠方）：</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u w:val="single"/>
        </w:rPr>
        <w:t>广西壮族自治区图书馆</w:t>
      </w:r>
      <w:r>
        <w:rPr>
          <w:rFonts w:hint="eastAsia" w:ascii="仿宋_GB2312" w:eastAsia="仿宋_GB2312"/>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u w:val="none"/>
          <w:lang w:val="en-US" w:eastAsia="zh-CN"/>
        </w:rPr>
        <w:t>年</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u w:val="none"/>
          <w:lang w:val="en-US" w:eastAsia="zh-CN"/>
        </w:rPr>
        <w:t>月</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u w:val="none"/>
          <w:lang w:val="en-US" w:eastAsia="zh-CN"/>
        </w:rPr>
        <w:t>日，乙方</w:t>
      </w:r>
      <w:r>
        <w:rPr>
          <w:rFonts w:hint="eastAsia" w:ascii="仿宋_GB2312" w:eastAsia="仿宋_GB2312"/>
          <w:sz w:val="32"/>
          <w:szCs w:val="32"/>
          <w:highlight w:val="none"/>
          <w:lang w:val="en-US" w:eastAsia="zh-CN"/>
        </w:rPr>
        <w:t>收到甲方捐赠</w:t>
      </w:r>
      <w:r>
        <w:rPr>
          <w:rFonts w:hint="eastAsia" w:ascii="仿宋_GB2312" w:eastAsia="仿宋_GB2312"/>
          <w:sz w:val="32"/>
          <w:szCs w:val="32"/>
          <w:highlight w:val="none"/>
          <w:u w:val="single"/>
          <w:lang w:val="en-US" w:eastAsia="zh-CN"/>
        </w:rPr>
        <w:t xml:space="preserve">                                                         </w:t>
      </w:r>
      <w:bookmarkStart w:id="0" w:name="_GoBack"/>
      <w:bookmarkEnd w:id="0"/>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u w:val="none"/>
          <w:lang w:val="en-US" w:eastAsia="zh-CN"/>
        </w:rPr>
        <w:t>，</w:t>
      </w:r>
      <w:r>
        <w:rPr>
          <w:rFonts w:hint="eastAsia" w:ascii="仿宋_GB2312" w:eastAsia="仿宋_GB2312"/>
          <w:sz w:val="32"/>
          <w:szCs w:val="32"/>
          <w:highlight w:val="none"/>
          <w:u w:val="none"/>
        </w:rPr>
        <w:t>详见</w:t>
      </w:r>
      <w:r>
        <w:rPr>
          <w:rFonts w:hint="eastAsia" w:ascii="仿宋_GB2312" w:eastAsia="仿宋_GB2312"/>
          <w:sz w:val="32"/>
          <w:szCs w:val="32"/>
          <w:highlight w:val="none"/>
          <w:u w:val="none"/>
          <w:lang w:val="en-US" w:eastAsia="zh-CN"/>
        </w:rPr>
        <w:t>附件</w:t>
      </w:r>
      <w:r>
        <w:rPr>
          <w:rFonts w:hint="eastAsia" w:ascii="仿宋_GB2312" w:eastAsia="仿宋_GB2312"/>
          <w:sz w:val="32"/>
          <w:szCs w:val="32"/>
          <w:highlight w:val="none"/>
          <w:u w:val="none"/>
        </w:rPr>
        <w:t>《文献</w:t>
      </w:r>
      <w:r>
        <w:rPr>
          <w:rFonts w:hint="eastAsia" w:ascii="仿宋_GB2312" w:eastAsia="仿宋_GB2312"/>
          <w:sz w:val="32"/>
          <w:szCs w:val="32"/>
          <w:highlight w:val="none"/>
          <w:u w:val="none"/>
          <w:lang w:val="en-US" w:eastAsia="zh-CN"/>
        </w:rPr>
        <w:t>资源</w:t>
      </w:r>
      <w:r>
        <w:rPr>
          <w:rFonts w:hint="eastAsia" w:ascii="仿宋_GB2312" w:eastAsia="仿宋_GB2312"/>
          <w:sz w:val="32"/>
          <w:szCs w:val="32"/>
          <w:highlight w:val="none"/>
          <w:u w:val="none"/>
        </w:rPr>
        <w:t>捐赠清单》</w:t>
      </w:r>
      <w:r>
        <w:rPr>
          <w:rFonts w:hint="eastAsia" w:ascii="仿宋_GB2312" w:eastAsia="仿宋_GB2312"/>
          <w:sz w:val="32"/>
          <w:szCs w:val="32"/>
          <w:highlight w:val="none"/>
          <w:u w:val="none"/>
          <w:lang w:val="en-US" w:eastAsia="zh-CN"/>
        </w:rPr>
        <w:t>。</w:t>
      </w:r>
      <w:r>
        <w:rPr>
          <w:rFonts w:hint="eastAsia" w:ascii="仿宋_GB2312" w:eastAsia="仿宋_GB2312"/>
          <w:sz w:val="32"/>
          <w:szCs w:val="32"/>
          <w:highlight w:val="none"/>
        </w:rPr>
        <w:t>甲乙双方</w:t>
      </w:r>
      <w:r>
        <w:rPr>
          <w:rFonts w:hint="eastAsia" w:ascii="仿宋_GB2312" w:eastAsia="仿宋_GB2312"/>
          <w:sz w:val="32"/>
          <w:szCs w:val="32"/>
          <w:highlight w:val="none"/>
          <w:lang w:val="en-US" w:eastAsia="zh-CN"/>
        </w:rPr>
        <w:t>本着</w:t>
      </w:r>
      <w:r>
        <w:rPr>
          <w:rFonts w:hint="eastAsia" w:ascii="仿宋_GB2312" w:eastAsia="仿宋_GB2312"/>
          <w:sz w:val="32"/>
          <w:szCs w:val="32"/>
          <w:highlight w:val="none"/>
        </w:rPr>
        <w:t>平等自愿、诚实信用</w:t>
      </w:r>
      <w:r>
        <w:rPr>
          <w:rFonts w:hint="eastAsia" w:ascii="仿宋_GB2312" w:eastAsia="仿宋_GB2312"/>
          <w:sz w:val="32"/>
          <w:szCs w:val="32"/>
          <w:highlight w:val="none"/>
          <w:lang w:val="en-US" w:eastAsia="zh-CN"/>
        </w:rPr>
        <w:t>的</w:t>
      </w:r>
      <w:r>
        <w:rPr>
          <w:rFonts w:hint="eastAsia" w:ascii="仿宋_GB2312" w:eastAsia="仿宋_GB2312"/>
          <w:sz w:val="32"/>
          <w:szCs w:val="32"/>
          <w:highlight w:val="none"/>
        </w:rPr>
        <w:t>原则，就文献</w:t>
      </w:r>
      <w:r>
        <w:rPr>
          <w:rFonts w:hint="eastAsia" w:ascii="仿宋_GB2312" w:eastAsia="仿宋_GB2312"/>
          <w:sz w:val="32"/>
          <w:szCs w:val="32"/>
          <w:highlight w:val="none"/>
          <w:lang w:val="en-US" w:eastAsia="zh-CN"/>
        </w:rPr>
        <w:t>资源</w:t>
      </w:r>
      <w:r>
        <w:rPr>
          <w:rFonts w:hint="eastAsia" w:ascii="仿宋_GB2312" w:eastAsia="仿宋_GB2312"/>
          <w:sz w:val="32"/>
          <w:szCs w:val="32"/>
          <w:highlight w:val="none"/>
        </w:rPr>
        <w:t>捐赠事宜达成如下协议：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一、甲方的权利与义务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color w:val="auto"/>
          <w:sz w:val="32"/>
          <w:szCs w:val="32"/>
          <w:highlight w:val="none"/>
          <w:lang w:eastAsia="zh-CN"/>
        </w:rPr>
        <w:t>应对拟捐赠文献资源拥有合法所有权，所捐赠文献资源应符合《中华人民共和国著作权法》《出版管理条例》</w:t>
      </w:r>
      <w:r>
        <w:rPr>
          <w:rFonts w:hint="eastAsia" w:ascii="仿宋_GB2312" w:hAnsi="仿宋_GB2312" w:eastAsia="仿宋_GB2312" w:cs="仿宋_GB2312"/>
          <w:color w:val="auto"/>
          <w:sz w:val="32"/>
          <w:szCs w:val="32"/>
          <w:highlight w:val="none"/>
          <w:lang w:val="en-US" w:eastAsia="zh-CN"/>
        </w:rPr>
        <w:t>等相关法律法规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auto"/>
        </w:rPr>
        <w:t>其中，境外出版文献资源捐赠应遵循国家新闻出版署关于接受境外机构或个人赠送境外出版物的有关规定。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（二）甲方</w:t>
      </w:r>
      <w:r>
        <w:rPr>
          <w:rFonts w:hint="eastAsia" w:ascii="仿宋_GB2312" w:hAnsi="仿宋_GB2312" w:eastAsia="仿宋_GB2312" w:cs="仿宋_GB2312"/>
          <w:sz w:val="32"/>
          <w:szCs w:val="32"/>
          <w:highlight w:val="none"/>
        </w:rPr>
        <w:t>及其法定继承人在本协议约定的捐赠文献资源开放利用范围内，享有优先阅览权。优先阅览权包括优先借阅、优先查阅（含合理范围内的复制，非商业用途），甲方及法定继承人行使该权利时应遵守乙方的馆藏利用规则及相关管理制度；对于涉密或双方另行约定限制利用的文献资源，优先阅览权的行使按双方书面约定执行</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（三）甲方有权要求乙方</w:t>
      </w:r>
      <w:r>
        <w:rPr>
          <w:rFonts w:hint="eastAsia" w:ascii="仿宋_GB2312" w:hAnsi="仿宋_GB2312" w:eastAsia="仿宋_GB2312" w:cs="仿宋_GB2312"/>
          <w:sz w:val="32"/>
          <w:szCs w:val="32"/>
          <w:highlight w:val="none"/>
        </w:rPr>
        <w:t>出具收藏证书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乙方在尊重甲方意愿并遵守相关法律法规的前提下，在广西壮族自治区图书馆网站“捐赠名录”栏目上公开捐赠信息</w:t>
      </w:r>
      <w:r>
        <w:rPr>
          <w:rFonts w:hint="eastAsia" w:ascii="仿宋_GB2312" w:hAnsi="仿宋_GB2312" w:eastAsia="仿宋_GB2312" w:cs="仿宋_GB2312"/>
          <w:sz w:val="32"/>
          <w:szCs w:val="32"/>
          <w:highlight w:val="none"/>
          <w:lang w:eastAsia="zh-CN"/>
        </w:rPr>
        <w:t>；甲方要求匿名公开或不公开的，应在签署本协议时书面说明，乙方应予以尊重</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二、乙方的权利与义务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（一）乙方根据不同类型文献资源的保护要求，对纳入馆藏的受赠文献资源进行专业保护</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捐赠文献资源一经</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shd w:val="clear" w:color="auto" w:fill="FFFFFF"/>
        </w:rPr>
        <w:t>接受</w:t>
      </w:r>
      <w:r>
        <w:rPr>
          <w:rFonts w:hint="eastAsia" w:ascii="仿宋_GB2312" w:hAnsi="仿宋_GB2312" w:eastAsia="仿宋_GB2312" w:cs="仿宋_GB2312"/>
          <w:sz w:val="32"/>
          <w:szCs w:val="32"/>
          <w:highlight w:val="none"/>
        </w:rPr>
        <w:t>并办妥核验、清点、登记等有关手续，其所有权等相关知识产权（甲方明确保留的除外）即转移至乙方所有。</w:t>
      </w:r>
      <w:r>
        <w:rPr>
          <w:rFonts w:hint="eastAsia" w:ascii="仿宋_GB2312" w:hAnsi="仿宋_GB2312" w:eastAsia="仿宋_GB2312" w:cs="仿宋_GB2312"/>
          <w:sz w:val="32"/>
          <w:szCs w:val="32"/>
          <w:highlight w:val="none"/>
          <w:lang w:val="en-US" w:eastAsia="zh-CN"/>
        </w:rPr>
        <w:t>乙方可以无偿提供给其他地方图书馆、文化机构进行公益性共享借阅或根据馆藏政策进行妥善安排，包括但不限于入藏、转赠、交换、封存,以及因严重损毁下架剔除，</w:t>
      </w:r>
      <w:r>
        <w:rPr>
          <w:rFonts w:hint="eastAsia" w:ascii="仿宋_GB2312" w:hAnsi="仿宋_GB2312" w:eastAsia="仿宋_GB2312" w:cs="仿宋_GB2312"/>
          <w:sz w:val="32"/>
          <w:szCs w:val="32"/>
          <w:highlight w:val="none"/>
        </w:rPr>
        <w:t>剔除前应做好登记备案</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（三）乙方</w:t>
      </w:r>
      <w:r>
        <w:rPr>
          <w:rFonts w:hint="eastAsia" w:ascii="仿宋_GB2312" w:hAnsi="仿宋_GB2312" w:eastAsia="仿宋_GB2312" w:cs="仿宋_GB2312"/>
          <w:kern w:val="2"/>
          <w:sz w:val="32"/>
          <w:szCs w:val="32"/>
          <w:highlight w:val="none"/>
          <w:lang w:val="en-US" w:eastAsia="zh-CN" w:bidi="ar-SA"/>
        </w:rPr>
        <w:t>拥有收藏证书的最终解释权。凡经核实存在权属纠纷等问题的捐赠文献资源，乙方有权召回或作废相关收藏证书，并通过乙方官网、微信服务号等官方渠道发布相关通知公告。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三、收藏证书仅表达乙方对甲方的谢意，</w:t>
      </w:r>
      <w:r>
        <w:rPr>
          <w:rFonts w:hint="eastAsia" w:ascii="仿宋_GB2312" w:hAnsi="仿宋_GB2312" w:eastAsia="仿宋_GB2312" w:cs="仿宋_GB2312"/>
          <w:b w:val="0"/>
          <w:bCs w:val="0"/>
          <w:kern w:val="0"/>
          <w:sz w:val="32"/>
          <w:szCs w:val="32"/>
          <w:highlight w:val="none"/>
        </w:rPr>
        <w:t>不作为对</w:t>
      </w:r>
      <w:r>
        <w:rPr>
          <w:rFonts w:hint="eastAsia" w:ascii="仿宋_GB2312" w:hAnsi="仿宋_GB2312" w:eastAsia="仿宋_GB2312" w:cs="仿宋_GB2312"/>
          <w:b w:val="0"/>
          <w:bCs w:val="0"/>
          <w:kern w:val="0"/>
          <w:sz w:val="32"/>
          <w:szCs w:val="32"/>
          <w:highlight w:val="none"/>
          <w:lang w:val="en-US" w:eastAsia="zh-CN"/>
        </w:rPr>
        <w:t>捐赠</w:t>
      </w:r>
      <w:r>
        <w:rPr>
          <w:rFonts w:hint="eastAsia" w:ascii="仿宋_GB2312" w:hAnsi="仿宋_GB2312" w:eastAsia="仿宋_GB2312" w:cs="仿宋_GB2312"/>
          <w:b w:val="0"/>
          <w:bCs w:val="0"/>
          <w:kern w:val="0"/>
          <w:sz w:val="32"/>
          <w:szCs w:val="32"/>
          <w:highlight w:val="none"/>
        </w:rPr>
        <w:t>文献</w:t>
      </w:r>
      <w:r>
        <w:rPr>
          <w:rFonts w:hint="eastAsia" w:ascii="仿宋_GB2312" w:hAnsi="仿宋_GB2312" w:eastAsia="仿宋_GB2312" w:cs="仿宋_GB2312"/>
          <w:b w:val="0"/>
          <w:bCs w:val="0"/>
          <w:kern w:val="0"/>
          <w:sz w:val="32"/>
          <w:szCs w:val="32"/>
          <w:highlight w:val="none"/>
          <w:lang w:val="en-US" w:eastAsia="zh-CN"/>
        </w:rPr>
        <w:t>资源</w:t>
      </w:r>
      <w:r>
        <w:rPr>
          <w:rFonts w:hint="eastAsia" w:ascii="仿宋_GB2312" w:hAnsi="仿宋_GB2312" w:eastAsia="仿宋_GB2312" w:cs="仿宋_GB2312"/>
          <w:b w:val="0"/>
          <w:bCs w:val="0"/>
          <w:kern w:val="0"/>
          <w:sz w:val="32"/>
          <w:szCs w:val="32"/>
          <w:highlight w:val="none"/>
        </w:rPr>
        <w:t>内容或学术水平的评价</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lang w:val="en-US" w:eastAsia="zh-CN"/>
        </w:rPr>
        <w:t>不作为入藏文献资源的证明</w:t>
      </w:r>
      <w:r>
        <w:rPr>
          <w:rFonts w:hint="eastAsia" w:ascii="仿宋_GB2312" w:hAnsi="仿宋_GB2312" w:eastAsia="仿宋_GB2312" w:cs="仿宋_GB2312"/>
          <w:b w:val="0"/>
          <w:bCs w:val="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四、因本协议引起的或与本协议有关的任何争议，双方应首先通过友好协商解决；协商不成的，任何一方均有权向乙方所在地有管辖权的人民法院提起诉讼。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五、本协议自双方签字盖章之日起生效。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六、未尽事宜，由双方协商一致后可签订补充协议，补充协议与本协议具有同等法律效力。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w:t>
      </w:r>
      <w:r>
        <w:rPr>
          <w:rFonts w:hint="eastAsia" w:ascii="仿宋_GB2312" w:eastAsia="仿宋_GB2312"/>
          <w:sz w:val="32"/>
          <w:szCs w:val="32"/>
          <w:highlight w:val="none"/>
        </w:rPr>
        <w:t>本协议一式两份，甲乙双方各执一份，具有同等法律效力。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附件：文献资源捐赠清单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甲方</w:t>
      </w:r>
      <w:r>
        <w:rPr>
          <w:rFonts w:hint="eastAsia" w:ascii="仿宋_GB2312" w:eastAsia="仿宋_GB2312"/>
          <w:sz w:val="32"/>
          <w:szCs w:val="32"/>
          <w:highlight w:val="none"/>
        </w:rPr>
        <w:t>（捐赠方）</w:t>
      </w:r>
      <w:r>
        <w:rPr>
          <w:rFonts w:hint="eastAsia" w:ascii="仿宋_GB2312" w:hAnsi="仿宋_GB2312" w:eastAsia="仿宋_GB2312" w:cs="仿宋_GB2312"/>
          <w:sz w:val="32"/>
          <w:szCs w:val="32"/>
          <w:highlight w:val="none"/>
          <w:lang w:val="en-US" w:eastAsia="zh-CN"/>
        </w:rPr>
        <w:t>签字</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 xml:space="preserve">           乙方（盖章）：</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rPr>
        <w:t>联系电话：</w:t>
      </w:r>
      <w:r>
        <w:rPr>
          <w:rFonts w:hint="eastAsia" w:ascii="仿宋_GB2312" w:eastAsia="仿宋_GB2312"/>
          <w:sz w:val="32"/>
          <w:szCs w:val="32"/>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联系</w:t>
      </w:r>
      <w:r>
        <w:rPr>
          <w:rFonts w:hint="eastAsia" w:ascii="仿宋_GB2312" w:eastAsia="仿宋_GB2312"/>
          <w:sz w:val="32"/>
          <w:szCs w:val="32"/>
          <w:highlight w:val="none"/>
        </w:rPr>
        <w:t>地址：</w:t>
      </w:r>
      <w:r>
        <w:rPr>
          <w:rFonts w:hint="eastAsia" w:ascii="仿宋_GB2312" w:eastAsia="仿宋_GB2312"/>
          <w:sz w:val="32"/>
          <w:szCs w:val="32"/>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仿宋_GB2312" w:eastAsia="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日期：    年   月   日         日期：    年   月   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val="en-US" w:eastAsia="zh-CN"/>
        </w:rPr>
        <w:sectPr>
          <w:footerReference r:id="rId3" w:type="default"/>
          <w:pgSz w:w="11906" w:h="16838"/>
          <w:pgMar w:top="2098" w:right="1587" w:bottom="1984" w:left="1587"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文献资源捐赠清单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lang w:val="en-US" w:eastAsia="zh-CN"/>
        </w:rPr>
      </w:pP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2319"/>
        <w:gridCol w:w="3221"/>
        <w:gridCol w:w="1673"/>
        <w:gridCol w:w="2217"/>
        <w:gridCol w:w="1239"/>
        <w:gridCol w:w="1239"/>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序号</w:t>
            </w:r>
          </w:p>
        </w:tc>
        <w:tc>
          <w:tcPr>
            <w:tcW w:w="81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ISBN/ISSN</w:t>
            </w:r>
          </w:p>
        </w:tc>
        <w:tc>
          <w:tcPr>
            <w:tcW w:w="113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题名</w:t>
            </w:r>
          </w:p>
        </w:tc>
        <w:tc>
          <w:tcPr>
            <w:tcW w:w="59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作者</w:t>
            </w:r>
          </w:p>
        </w:tc>
        <w:tc>
          <w:tcPr>
            <w:tcW w:w="782"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Calibri" w:eastAsia="仿宋_GB2312" w:cs="Times New Roman"/>
                <w:b/>
                <w:bCs/>
                <w:kern w:val="2"/>
                <w:sz w:val="32"/>
                <w:szCs w:val="32"/>
                <w:highlight w:val="none"/>
                <w:lang w:val="en-US" w:eastAsia="zh-CN" w:bidi="ar-SA"/>
              </w:rPr>
            </w:pPr>
            <w:r>
              <w:rPr>
                <w:rFonts w:hint="eastAsia" w:ascii="仿宋_GB2312" w:eastAsia="仿宋_GB2312"/>
                <w:b/>
                <w:bCs/>
                <w:sz w:val="32"/>
                <w:szCs w:val="32"/>
                <w:highlight w:val="none"/>
                <w:lang w:val="en-US" w:eastAsia="zh-CN"/>
              </w:rPr>
              <w:t>出版社</w:t>
            </w:r>
          </w:p>
        </w:tc>
        <w:tc>
          <w:tcPr>
            <w:tcW w:w="43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Calibri" w:eastAsia="仿宋_GB2312" w:cs="Times New Roman"/>
                <w:b/>
                <w:bCs/>
                <w:kern w:val="2"/>
                <w:sz w:val="32"/>
                <w:szCs w:val="32"/>
                <w:highlight w:val="none"/>
                <w:lang w:val="en-US" w:eastAsia="zh-CN" w:bidi="ar-SA"/>
              </w:rPr>
            </w:pPr>
            <w:r>
              <w:rPr>
                <w:rFonts w:hint="eastAsia" w:ascii="仿宋_GB2312" w:eastAsia="仿宋_GB2312"/>
                <w:b/>
                <w:bCs/>
                <w:sz w:val="32"/>
                <w:szCs w:val="32"/>
                <w:highlight w:val="none"/>
                <w:lang w:val="en-US" w:eastAsia="zh-CN"/>
              </w:rPr>
              <w:t>出版年</w:t>
            </w:r>
          </w:p>
        </w:tc>
        <w:tc>
          <w:tcPr>
            <w:tcW w:w="437"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Calibri" w:eastAsia="仿宋_GB2312" w:cs="Times New Roman"/>
                <w:b/>
                <w:bCs/>
                <w:kern w:val="2"/>
                <w:sz w:val="32"/>
                <w:szCs w:val="32"/>
                <w:highlight w:val="none"/>
                <w:lang w:val="en-US" w:eastAsia="zh-CN" w:bidi="ar-SA"/>
              </w:rPr>
            </w:pPr>
            <w:r>
              <w:rPr>
                <w:rFonts w:hint="eastAsia" w:ascii="仿宋_GB2312" w:eastAsia="仿宋_GB2312"/>
                <w:b/>
                <w:bCs/>
                <w:sz w:val="32"/>
                <w:szCs w:val="32"/>
                <w:highlight w:val="none"/>
                <w:lang w:val="en-US" w:eastAsia="zh-CN"/>
              </w:rPr>
              <w:t>数量</w:t>
            </w:r>
          </w:p>
        </w:tc>
        <w:tc>
          <w:tcPr>
            <w:tcW w:w="438"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Calibri" w:eastAsia="仿宋_GB2312" w:cs="Times New Roman"/>
                <w:b/>
                <w:bCs/>
                <w:kern w:val="2"/>
                <w:sz w:val="32"/>
                <w:szCs w:val="32"/>
                <w:highlight w:val="none"/>
                <w:lang w:val="en-US" w:eastAsia="zh-CN" w:bidi="ar-SA"/>
              </w:rPr>
            </w:pPr>
            <w:r>
              <w:rPr>
                <w:rFonts w:hint="eastAsia" w:ascii="仿宋_GB2312" w:eastAsia="仿宋_GB2312"/>
                <w:b/>
                <w:bCs/>
                <w:sz w:val="32"/>
                <w:szCs w:val="3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vertAlign w:val="baseline"/>
                <w:lang w:val="en-US" w:eastAsia="zh-CN"/>
              </w:rPr>
            </w:pPr>
          </w:p>
        </w:tc>
        <w:tc>
          <w:tcPr>
            <w:tcW w:w="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1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59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78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437"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vertAlign w:val="baseline"/>
                <w:lang w:val="en-US" w:eastAsia="zh-CN"/>
              </w:rPr>
            </w:pPr>
          </w:p>
        </w:tc>
        <w:tc>
          <w:tcPr>
            <w:tcW w:w="437"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vertAlign w:val="baseline"/>
                <w:lang w:val="en-US" w:eastAsia="zh-CN"/>
              </w:rPr>
            </w:pPr>
          </w:p>
        </w:tc>
        <w:tc>
          <w:tcPr>
            <w:tcW w:w="438"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vertAlign w:val="baseline"/>
                <w:lang w:val="en-US" w:eastAsia="zh-CN"/>
              </w:rPr>
            </w:pPr>
          </w:p>
        </w:tc>
        <w:tc>
          <w:tcPr>
            <w:tcW w:w="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1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59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78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437"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vertAlign w:val="baseline"/>
                <w:lang w:val="en-US" w:eastAsia="zh-CN"/>
              </w:rPr>
            </w:pPr>
          </w:p>
        </w:tc>
        <w:tc>
          <w:tcPr>
            <w:tcW w:w="437"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vertAlign w:val="baseline"/>
                <w:lang w:val="en-US" w:eastAsia="zh-CN"/>
              </w:rPr>
            </w:pPr>
          </w:p>
        </w:tc>
        <w:tc>
          <w:tcPr>
            <w:tcW w:w="438"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vertAlign w:val="baseline"/>
                <w:lang w:val="en-US" w:eastAsia="zh-CN"/>
              </w:rPr>
            </w:pPr>
          </w:p>
        </w:tc>
        <w:tc>
          <w:tcPr>
            <w:tcW w:w="8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11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59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78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c>
          <w:tcPr>
            <w:tcW w:w="437" w:type="pct"/>
            <w:noWrap w:val="0"/>
            <w:vAlign w:val="top"/>
          </w:tcPr>
          <w:p>
            <w:pPr>
              <w:keepNext w:val="0"/>
              <w:keepLines w:val="0"/>
              <w:pageBreakBefore w:val="0"/>
              <w:kinsoku/>
              <w:wordWrap/>
              <w:overflowPunct/>
              <w:topLinePunct w:val="0"/>
              <w:autoSpaceDE/>
              <w:autoSpaceDN/>
              <w:bidi w:val="0"/>
              <w:adjustRightInd/>
              <w:snapToGrid/>
              <w:spacing w:line="560" w:lineRule="exact"/>
            </w:pPr>
          </w:p>
        </w:tc>
        <w:tc>
          <w:tcPr>
            <w:tcW w:w="437"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vertAlign w:val="baseline"/>
                <w:lang w:val="en-US" w:eastAsia="zh-CN"/>
              </w:rPr>
            </w:pPr>
          </w:p>
        </w:tc>
        <w:tc>
          <w:tcPr>
            <w:tcW w:w="438"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甲方（签章）</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 xml:space="preserve">                                  乙方经办人（签字）：</w:t>
      </w:r>
    </w:p>
    <w:p>
      <w:pPr>
        <w:keepNext w:val="0"/>
        <w:keepLines w:val="0"/>
        <w:pageBreakBefore w:val="0"/>
        <w:kinsoku/>
        <w:wordWrap/>
        <w:overflowPunct/>
        <w:topLinePunct w:val="0"/>
        <w:autoSpaceDE/>
        <w:autoSpaceDN/>
        <w:bidi w:val="0"/>
        <w:adjustRightInd/>
        <w:snapToGrid/>
        <w:spacing w:line="560" w:lineRule="exact"/>
        <w:rPr>
          <w:rFonts w:hint="default" w:ascii="仿宋_GB2312" w:eastAsia="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日期：    年   月   日                          日期：     年   月  日</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一</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一</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748A7"/>
    <w:rsid w:val="0004728C"/>
    <w:rsid w:val="00280461"/>
    <w:rsid w:val="004A3433"/>
    <w:rsid w:val="00512F36"/>
    <w:rsid w:val="006C6279"/>
    <w:rsid w:val="00CC578A"/>
    <w:rsid w:val="01851FE2"/>
    <w:rsid w:val="019370BB"/>
    <w:rsid w:val="0194716F"/>
    <w:rsid w:val="01AD64FD"/>
    <w:rsid w:val="01DE6E2A"/>
    <w:rsid w:val="023C2C36"/>
    <w:rsid w:val="02A857E7"/>
    <w:rsid w:val="02F35158"/>
    <w:rsid w:val="02F96174"/>
    <w:rsid w:val="03194B8E"/>
    <w:rsid w:val="03283971"/>
    <w:rsid w:val="03446184"/>
    <w:rsid w:val="03A74A4D"/>
    <w:rsid w:val="03B76E84"/>
    <w:rsid w:val="03C36241"/>
    <w:rsid w:val="04F83A81"/>
    <w:rsid w:val="05483BD4"/>
    <w:rsid w:val="056426CB"/>
    <w:rsid w:val="05823636"/>
    <w:rsid w:val="05BB075A"/>
    <w:rsid w:val="05FD5631"/>
    <w:rsid w:val="06F45123"/>
    <w:rsid w:val="06FF2489"/>
    <w:rsid w:val="070129AE"/>
    <w:rsid w:val="07134078"/>
    <w:rsid w:val="0726451D"/>
    <w:rsid w:val="07DF6BDD"/>
    <w:rsid w:val="08014045"/>
    <w:rsid w:val="08423437"/>
    <w:rsid w:val="08894AB3"/>
    <w:rsid w:val="08C563F2"/>
    <w:rsid w:val="08F34248"/>
    <w:rsid w:val="099C57DE"/>
    <w:rsid w:val="0A1022FB"/>
    <w:rsid w:val="0A6913EA"/>
    <w:rsid w:val="0A9311A6"/>
    <w:rsid w:val="0A9B1D09"/>
    <w:rsid w:val="0AAF6ECC"/>
    <w:rsid w:val="0AC8779C"/>
    <w:rsid w:val="0BE27230"/>
    <w:rsid w:val="0C0B2603"/>
    <w:rsid w:val="0C282E18"/>
    <w:rsid w:val="0C380F11"/>
    <w:rsid w:val="0CB30CF5"/>
    <w:rsid w:val="0E07531A"/>
    <w:rsid w:val="0E271C34"/>
    <w:rsid w:val="0E2A13C2"/>
    <w:rsid w:val="0EEF7B3D"/>
    <w:rsid w:val="0F107E65"/>
    <w:rsid w:val="0F6E610A"/>
    <w:rsid w:val="0F703C6A"/>
    <w:rsid w:val="0FD809F2"/>
    <w:rsid w:val="10071EE2"/>
    <w:rsid w:val="105335D9"/>
    <w:rsid w:val="107C7875"/>
    <w:rsid w:val="10A351DF"/>
    <w:rsid w:val="11137FB0"/>
    <w:rsid w:val="11225292"/>
    <w:rsid w:val="11372EF6"/>
    <w:rsid w:val="115D0C8D"/>
    <w:rsid w:val="11B748A7"/>
    <w:rsid w:val="11F373F8"/>
    <w:rsid w:val="12217711"/>
    <w:rsid w:val="12ED2AFD"/>
    <w:rsid w:val="130A47A8"/>
    <w:rsid w:val="133B0A60"/>
    <w:rsid w:val="135F7BDA"/>
    <w:rsid w:val="138F265C"/>
    <w:rsid w:val="13C1191E"/>
    <w:rsid w:val="13C93DCE"/>
    <w:rsid w:val="14556902"/>
    <w:rsid w:val="14887312"/>
    <w:rsid w:val="14EF060C"/>
    <w:rsid w:val="15696022"/>
    <w:rsid w:val="15DB2BC1"/>
    <w:rsid w:val="162D1BE2"/>
    <w:rsid w:val="16465217"/>
    <w:rsid w:val="16783BD9"/>
    <w:rsid w:val="169B2D60"/>
    <w:rsid w:val="16AD1E9D"/>
    <w:rsid w:val="16E222B9"/>
    <w:rsid w:val="1761122A"/>
    <w:rsid w:val="17C60881"/>
    <w:rsid w:val="188C5CD8"/>
    <w:rsid w:val="18F5680E"/>
    <w:rsid w:val="19131776"/>
    <w:rsid w:val="19F63609"/>
    <w:rsid w:val="1A062E82"/>
    <w:rsid w:val="1A085798"/>
    <w:rsid w:val="1A0C417B"/>
    <w:rsid w:val="1A744175"/>
    <w:rsid w:val="1AA848CD"/>
    <w:rsid w:val="1B0E6A85"/>
    <w:rsid w:val="1B2870D7"/>
    <w:rsid w:val="1B600D5E"/>
    <w:rsid w:val="1BA368DB"/>
    <w:rsid w:val="1BA63841"/>
    <w:rsid w:val="1C635357"/>
    <w:rsid w:val="1CA701EE"/>
    <w:rsid w:val="1CAB4FB3"/>
    <w:rsid w:val="1CF257BE"/>
    <w:rsid w:val="1D402876"/>
    <w:rsid w:val="1E14660F"/>
    <w:rsid w:val="1E267790"/>
    <w:rsid w:val="1EC33D27"/>
    <w:rsid w:val="1ECA4637"/>
    <w:rsid w:val="1F1E0829"/>
    <w:rsid w:val="20402B19"/>
    <w:rsid w:val="20500716"/>
    <w:rsid w:val="20D6163F"/>
    <w:rsid w:val="20F563E2"/>
    <w:rsid w:val="210534B2"/>
    <w:rsid w:val="21482D28"/>
    <w:rsid w:val="21902FE4"/>
    <w:rsid w:val="219F2413"/>
    <w:rsid w:val="21F71A6E"/>
    <w:rsid w:val="2231130D"/>
    <w:rsid w:val="225B71CB"/>
    <w:rsid w:val="22706AE0"/>
    <w:rsid w:val="233B2B82"/>
    <w:rsid w:val="2354722E"/>
    <w:rsid w:val="235B689E"/>
    <w:rsid w:val="23707421"/>
    <w:rsid w:val="23A1424F"/>
    <w:rsid w:val="23BE0E66"/>
    <w:rsid w:val="24130629"/>
    <w:rsid w:val="2443704A"/>
    <w:rsid w:val="249F59E1"/>
    <w:rsid w:val="24E74C7B"/>
    <w:rsid w:val="25157463"/>
    <w:rsid w:val="25A57C46"/>
    <w:rsid w:val="25B6307B"/>
    <w:rsid w:val="25C67316"/>
    <w:rsid w:val="25E41298"/>
    <w:rsid w:val="26C6392A"/>
    <w:rsid w:val="277F03E1"/>
    <w:rsid w:val="284567E4"/>
    <w:rsid w:val="28CE2DFD"/>
    <w:rsid w:val="29293F19"/>
    <w:rsid w:val="2963536D"/>
    <w:rsid w:val="296A6C99"/>
    <w:rsid w:val="296D2867"/>
    <w:rsid w:val="298A6C1B"/>
    <w:rsid w:val="29D778C1"/>
    <w:rsid w:val="29F75657"/>
    <w:rsid w:val="29F757FE"/>
    <w:rsid w:val="2A2B03AD"/>
    <w:rsid w:val="2A6D03E0"/>
    <w:rsid w:val="2A810B73"/>
    <w:rsid w:val="2ACD6E7E"/>
    <w:rsid w:val="2B03507F"/>
    <w:rsid w:val="2B195049"/>
    <w:rsid w:val="2B2907CD"/>
    <w:rsid w:val="2B2E57AD"/>
    <w:rsid w:val="2BC319C9"/>
    <w:rsid w:val="2BD97F65"/>
    <w:rsid w:val="2C3616F2"/>
    <w:rsid w:val="2C4E44B9"/>
    <w:rsid w:val="2C530DE7"/>
    <w:rsid w:val="2C8F3C53"/>
    <w:rsid w:val="2CA11BA9"/>
    <w:rsid w:val="2D21722D"/>
    <w:rsid w:val="2DC84DD2"/>
    <w:rsid w:val="2EDD738A"/>
    <w:rsid w:val="2EE80463"/>
    <w:rsid w:val="2F311EC3"/>
    <w:rsid w:val="2F711B58"/>
    <w:rsid w:val="301E52E5"/>
    <w:rsid w:val="30AF4327"/>
    <w:rsid w:val="310E428C"/>
    <w:rsid w:val="315F338A"/>
    <w:rsid w:val="31CA4DFB"/>
    <w:rsid w:val="31EE28C1"/>
    <w:rsid w:val="32120577"/>
    <w:rsid w:val="32671CD0"/>
    <w:rsid w:val="336D000A"/>
    <w:rsid w:val="33A50192"/>
    <w:rsid w:val="33D11303"/>
    <w:rsid w:val="34160A36"/>
    <w:rsid w:val="341F09F0"/>
    <w:rsid w:val="347D5521"/>
    <w:rsid w:val="349F00B9"/>
    <w:rsid w:val="34D71C81"/>
    <w:rsid w:val="3548029F"/>
    <w:rsid w:val="35544575"/>
    <w:rsid w:val="35962246"/>
    <w:rsid w:val="35A213A8"/>
    <w:rsid w:val="3607672B"/>
    <w:rsid w:val="363017CF"/>
    <w:rsid w:val="3652278E"/>
    <w:rsid w:val="36756C03"/>
    <w:rsid w:val="36806788"/>
    <w:rsid w:val="36933851"/>
    <w:rsid w:val="375556C9"/>
    <w:rsid w:val="376C3823"/>
    <w:rsid w:val="37707D95"/>
    <w:rsid w:val="379D7EE4"/>
    <w:rsid w:val="37E05406"/>
    <w:rsid w:val="38637FBF"/>
    <w:rsid w:val="386F2A8B"/>
    <w:rsid w:val="39113491"/>
    <w:rsid w:val="39C003D9"/>
    <w:rsid w:val="3B815689"/>
    <w:rsid w:val="3BA3436D"/>
    <w:rsid w:val="3BBD66DC"/>
    <w:rsid w:val="3BCA5D07"/>
    <w:rsid w:val="3BF245E7"/>
    <w:rsid w:val="3CB576C6"/>
    <w:rsid w:val="3CCE5F35"/>
    <w:rsid w:val="3CD83E8C"/>
    <w:rsid w:val="3D912595"/>
    <w:rsid w:val="3D9B0D19"/>
    <w:rsid w:val="3DA56C6E"/>
    <w:rsid w:val="3DD467D9"/>
    <w:rsid w:val="3E314F41"/>
    <w:rsid w:val="3E576887"/>
    <w:rsid w:val="3EA634AC"/>
    <w:rsid w:val="3F46744B"/>
    <w:rsid w:val="3F537F06"/>
    <w:rsid w:val="3FD46722"/>
    <w:rsid w:val="3FDB708C"/>
    <w:rsid w:val="400D7E52"/>
    <w:rsid w:val="409A5CA4"/>
    <w:rsid w:val="42845327"/>
    <w:rsid w:val="429E7FCD"/>
    <w:rsid w:val="4325261E"/>
    <w:rsid w:val="43901998"/>
    <w:rsid w:val="446376E8"/>
    <w:rsid w:val="447A0E0B"/>
    <w:rsid w:val="44AC380C"/>
    <w:rsid w:val="44C3511D"/>
    <w:rsid w:val="45027E53"/>
    <w:rsid w:val="451830FC"/>
    <w:rsid w:val="45A20D46"/>
    <w:rsid w:val="45D241F3"/>
    <w:rsid w:val="461350D3"/>
    <w:rsid w:val="466D7F57"/>
    <w:rsid w:val="46FD43D5"/>
    <w:rsid w:val="47064402"/>
    <w:rsid w:val="47497C1F"/>
    <w:rsid w:val="476D1275"/>
    <w:rsid w:val="477F650B"/>
    <w:rsid w:val="479B79CD"/>
    <w:rsid w:val="47E54485"/>
    <w:rsid w:val="480334A0"/>
    <w:rsid w:val="48FB2356"/>
    <w:rsid w:val="494B2406"/>
    <w:rsid w:val="49885046"/>
    <w:rsid w:val="499C693E"/>
    <w:rsid w:val="49AA6DC5"/>
    <w:rsid w:val="4A4B61E7"/>
    <w:rsid w:val="4A7823E0"/>
    <w:rsid w:val="4A931B6F"/>
    <w:rsid w:val="4AAE2D99"/>
    <w:rsid w:val="4AC557B7"/>
    <w:rsid w:val="4B0E3CC6"/>
    <w:rsid w:val="4B1948C5"/>
    <w:rsid w:val="4B785048"/>
    <w:rsid w:val="4B89175E"/>
    <w:rsid w:val="4BC90C01"/>
    <w:rsid w:val="4BCF0306"/>
    <w:rsid w:val="4BF87D40"/>
    <w:rsid w:val="4C265954"/>
    <w:rsid w:val="4C4105D0"/>
    <w:rsid w:val="4C5324C0"/>
    <w:rsid w:val="4C9D3B8F"/>
    <w:rsid w:val="4CB442AE"/>
    <w:rsid w:val="4CC35846"/>
    <w:rsid w:val="4CD50EDF"/>
    <w:rsid w:val="4CE11650"/>
    <w:rsid w:val="4D022A2E"/>
    <w:rsid w:val="4D0A00C6"/>
    <w:rsid w:val="4D3C3FEC"/>
    <w:rsid w:val="4DE06EC7"/>
    <w:rsid w:val="4EEE35ED"/>
    <w:rsid w:val="4FAD78C3"/>
    <w:rsid w:val="506B0D5E"/>
    <w:rsid w:val="506E1D7A"/>
    <w:rsid w:val="507C2C1B"/>
    <w:rsid w:val="50873051"/>
    <w:rsid w:val="512B667E"/>
    <w:rsid w:val="51411F19"/>
    <w:rsid w:val="515D7546"/>
    <w:rsid w:val="5190784C"/>
    <w:rsid w:val="52276309"/>
    <w:rsid w:val="52966997"/>
    <w:rsid w:val="52BF1AA9"/>
    <w:rsid w:val="53930806"/>
    <w:rsid w:val="5407680F"/>
    <w:rsid w:val="54166506"/>
    <w:rsid w:val="5465277B"/>
    <w:rsid w:val="548D147D"/>
    <w:rsid w:val="54B50D00"/>
    <w:rsid w:val="54F815B4"/>
    <w:rsid w:val="54F8543B"/>
    <w:rsid w:val="558D2464"/>
    <w:rsid w:val="55B404E3"/>
    <w:rsid w:val="55DB69B6"/>
    <w:rsid w:val="56D4725D"/>
    <w:rsid w:val="572D7D3E"/>
    <w:rsid w:val="574707F2"/>
    <w:rsid w:val="577D2F63"/>
    <w:rsid w:val="57943074"/>
    <w:rsid w:val="57AC7364"/>
    <w:rsid w:val="582263CC"/>
    <w:rsid w:val="582B5CB8"/>
    <w:rsid w:val="58690D9D"/>
    <w:rsid w:val="586D5987"/>
    <w:rsid w:val="58907F67"/>
    <w:rsid w:val="589D47AA"/>
    <w:rsid w:val="594E66D7"/>
    <w:rsid w:val="59CD7DDC"/>
    <w:rsid w:val="5A435E3E"/>
    <w:rsid w:val="5AB95D48"/>
    <w:rsid w:val="5AC84F97"/>
    <w:rsid w:val="5ADC2B8B"/>
    <w:rsid w:val="5B1F33F4"/>
    <w:rsid w:val="5B2E53FB"/>
    <w:rsid w:val="5B3C69A0"/>
    <w:rsid w:val="5B5A25A4"/>
    <w:rsid w:val="5C5804DA"/>
    <w:rsid w:val="5C855148"/>
    <w:rsid w:val="5C942A79"/>
    <w:rsid w:val="5CC21CA5"/>
    <w:rsid w:val="5CD005B3"/>
    <w:rsid w:val="5D966509"/>
    <w:rsid w:val="5E3002D2"/>
    <w:rsid w:val="5E347F1C"/>
    <w:rsid w:val="5E8E33F3"/>
    <w:rsid w:val="5ECA0506"/>
    <w:rsid w:val="5F5E71EC"/>
    <w:rsid w:val="5FC05EFA"/>
    <w:rsid w:val="5FC76728"/>
    <w:rsid w:val="602D66A4"/>
    <w:rsid w:val="6032136F"/>
    <w:rsid w:val="60483BFC"/>
    <w:rsid w:val="60DE6696"/>
    <w:rsid w:val="619B76AA"/>
    <w:rsid w:val="61A775EE"/>
    <w:rsid w:val="61C9362F"/>
    <w:rsid w:val="61F20FD3"/>
    <w:rsid w:val="62925FFE"/>
    <w:rsid w:val="62F86FD1"/>
    <w:rsid w:val="633D4488"/>
    <w:rsid w:val="63AE1AA9"/>
    <w:rsid w:val="63DC37E7"/>
    <w:rsid w:val="63E7521B"/>
    <w:rsid w:val="63F24DFA"/>
    <w:rsid w:val="64080526"/>
    <w:rsid w:val="645D5D1D"/>
    <w:rsid w:val="64995267"/>
    <w:rsid w:val="64BE1D11"/>
    <w:rsid w:val="660E5BB8"/>
    <w:rsid w:val="663123FA"/>
    <w:rsid w:val="66385E04"/>
    <w:rsid w:val="668435D6"/>
    <w:rsid w:val="66D803FA"/>
    <w:rsid w:val="6700751E"/>
    <w:rsid w:val="67094D87"/>
    <w:rsid w:val="672133D3"/>
    <w:rsid w:val="67AE60DB"/>
    <w:rsid w:val="67F34C63"/>
    <w:rsid w:val="68224715"/>
    <w:rsid w:val="68454E4C"/>
    <w:rsid w:val="689E0603"/>
    <w:rsid w:val="68B146EA"/>
    <w:rsid w:val="68C73E4C"/>
    <w:rsid w:val="691B04D9"/>
    <w:rsid w:val="69400E65"/>
    <w:rsid w:val="694804FA"/>
    <w:rsid w:val="6971444F"/>
    <w:rsid w:val="697C11DE"/>
    <w:rsid w:val="699E437B"/>
    <w:rsid w:val="6A127CB7"/>
    <w:rsid w:val="6A650AF7"/>
    <w:rsid w:val="6A666965"/>
    <w:rsid w:val="6A741C32"/>
    <w:rsid w:val="6A8042E2"/>
    <w:rsid w:val="6A843F31"/>
    <w:rsid w:val="6ABB229B"/>
    <w:rsid w:val="6B247C1C"/>
    <w:rsid w:val="6BD76688"/>
    <w:rsid w:val="6C677D61"/>
    <w:rsid w:val="6CD84D1B"/>
    <w:rsid w:val="6CEA014D"/>
    <w:rsid w:val="6D5F7F0C"/>
    <w:rsid w:val="6DD4620C"/>
    <w:rsid w:val="6E112CD3"/>
    <w:rsid w:val="6E444B11"/>
    <w:rsid w:val="6E451469"/>
    <w:rsid w:val="6E86025D"/>
    <w:rsid w:val="6EA053E6"/>
    <w:rsid w:val="6EA44717"/>
    <w:rsid w:val="6ECD49AA"/>
    <w:rsid w:val="6F427BE7"/>
    <w:rsid w:val="6F516F94"/>
    <w:rsid w:val="6F985A6B"/>
    <w:rsid w:val="6FC504E7"/>
    <w:rsid w:val="6FDA70E9"/>
    <w:rsid w:val="6FE743D1"/>
    <w:rsid w:val="701F4AF0"/>
    <w:rsid w:val="70724C4E"/>
    <w:rsid w:val="70A1241D"/>
    <w:rsid w:val="70A36491"/>
    <w:rsid w:val="70E11A4F"/>
    <w:rsid w:val="70EF188A"/>
    <w:rsid w:val="70F66167"/>
    <w:rsid w:val="71480F62"/>
    <w:rsid w:val="71742E8D"/>
    <w:rsid w:val="718F472B"/>
    <w:rsid w:val="72CD1A74"/>
    <w:rsid w:val="72F1199A"/>
    <w:rsid w:val="73186D63"/>
    <w:rsid w:val="734713CA"/>
    <w:rsid w:val="7377175A"/>
    <w:rsid w:val="73A00C11"/>
    <w:rsid w:val="73F13E13"/>
    <w:rsid w:val="74F84E43"/>
    <w:rsid w:val="75047231"/>
    <w:rsid w:val="753A0134"/>
    <w:rsid w:val="753E12ED"/>
    <w:rsid w:val="755F54C2"/>
    <w:rsid w:val="75AE5E08"/>
    <w:rsid w:val="75B4388E"/>
    <w:rsid w:val="75CF5ABF"/>
    <w:rsid w:val="75D4401E"/>
    <w:rsid w:val="764A6CBF"/>
    <w:rsid w:val="76DE0696"/>
    <w:rsid w:val="77406A14"/>
    <w:rsid w:val="77705866"/>
    <w:rsid w:val="77C20841"/>
    <w:rsid w:val="78086EE9"/>
    <w:rsid w:val="781610B1"/>
    <w:rsid w:val="784054B6"/>
    <w:rsid w:val="78525E20"/>
    <w:rsid w:val="789A6DD4"/>
    <w:rsid w:val="78B73B29"/>
    <w:rsid w:val="78E564E3"/>
    <w:rsid w:val="791156F2"/>
    <w:rsid w:val="795B015D"/>
    <w:rsid w:val="797E43A4"/>
    <w:rsid w:val="79B65092"/>
    <w:rsid w:val="7A145BD6"/>
    <w:rsid w:val="7A734C05"/>
    <w:rsid w:val="7AB82F4A"/>
    <w:rsid w:val="7B6814F6"/>
    <w:rsid w:val="7BD24617"/>
    <w:rsid w:val="7BE3210F"/>
    <w:rsid w:val="7C3A07DF"/>
    <w:rsid w:val="7C527029"/>
    <w:rsid w:val="7C902ED8"/>
    <w:rsid w:val="7C9A3206"/>
    <w:rsid w:val="7CEC6279"/>
    <w:rsid w:val="7D204F71"/>
    <w:rsid w:val="7D2B2ACF"/>
    <w:rsid w:val="7D4B2C22"/>
    <w:rsid w:val="7D6278D7"/>
    <w:rsid w:val="7D772B88"/>
    <w:rsid w:val="7DC00597"/>
    <w:rsid w:val="7DD52CAF"/>
    <w:rsid w:val="7E395D7A"/>
    <w:rsid w:val="7E573450"/>
    <w:rsid w:val="7E886D12"/>
    <w:rsid w:val="7EBD5671"/>
    <w:rsid w:val="7F3153CD"/>
    <w:rsid w:val="7F417FDF"/>
    <w:rsid w:val="7F720B37"/>
    <w:rsid w:val="7F9D70F1"/>
    <w:rsid w:val="7FA93971"/>
    <w:rsid w:val="7FB15502"/>
    <w:rsid w:val="7FE841C6"/>
    <w:rsid w:val="7FF67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1073</Words>
  <Characters>1081</Characters>
  <Lines>0</Lines>
  <Paragraphs>0</Paragraphs>
  <TotalTime>0</TotalTime>
  <ScaleCrop>false</ScaleCrop>
  <LinksUpToDate>false</LinksUpToDate>
  <CharactersWithSpaces>1355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2026-03-19T02:00:00Z</dcterms:created>
  <dc:creator> </dc:creator>
  <cp:lastModifiedBy> </cp:lastModifiedBy>
  <dcterms:modified xsi:type="dcterms:W3CDTF">2026-03-19T02:01:49Z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11252F8C44C14D79A4E836C726362FB9</vt:lpwstr>
  </property>
</Properties>
</file>